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48AA" w:rsidRDefault="009248AA">
      <w:pPr>
        <w:spacing w:after="0"/>
        <w:jc w:val="center"/>
      </w:pPr>
      <w:bookmarkStart w:id="0" w:name="_gjdgxs" w:colFirst="0" w:colLast="0"/>
      <w:bookmarkEnd w:id="0"/>
    </w:p>
    <w:p w:rsidR="009248AA" w:rsidRDefault="00005DEF">
      <w:pPr>
        <w:spacing w:after="0"/>
        <w:jc w:val="center"/>
      </w:pPr>
      <w:r>
        <w:rPr>
          <w:b/>
          <w:sz w:val="28"/>
          <w:szCs w:val="28"/>
        </w:rPr>
        <w:t>CRONOGRAMA CUMPLIMIENTO DE COMPROMISO</w:t>
      </w:r>
    </w:p>
    <w:p w:rsidR="009248AA" w:rsidRDefault="00005DEF">
      <w:pPr>
        <w:spacing w:after="0"/>
        <w:jc w:val="center"/>
      </w:pPr>
      <w:r>
        <w:rPr>
          <w:b/>
          <w:sz w:val="28"/>
          <w:szCs w:val="28"/>
        </w:rPr>
        <w:t>PLAN DE ACCIÓN NACIONAL DE GOBIERNO ABIERTO 2016-2018</w:t>
      </w:r>
    </w:p>
    <w:p w:rsidR="009248AA" w:rsidRDefault="009248AA">
      <w:pPr>
        <w:spacing w:after="0"/>
        <w:jc w:val="both"/>
      </w:pPr>
    </w:p>
    <w:tbl>
      <w:tblPr>
        <w:tblStyle w:val="a"/>
        <w:tblW w:w="18003" w:type="dxa"/>
        <w:tblInd w:w="-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13467"/>
      </w:tblGrid>
      <w:tr w:rsidR="009248AA" w:rsidTr="0092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03" w:type="dxa"/>
            <w:gridSpan w:val="2"/>
            <w:shd w:val="clear" w:color="auto" w:fill="000000"/>
          </w:tcPr>
          <w:p w:rsidR="009248AA" w:rsidRDefault="00BF4041">
            <w:pPr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>10</w:t>
            </w:r>
            <w:r w:rsidR="00005DEF" w:rsidRPr="00BF4041">
              <w:rPr>
                <w:b/>
                <w:color w:val="FFFFFF" w:themeColor="background1"/>
                <w:sz w:val="28"/>
                <w:szCs w:val="28"/>
              </w:rPr>
              <w:t xml:space="preserve">. </w:t>
            </w:r>
            <w:r>
              <w:rPr>
                <w:b/>
                <w:color w:val="FFFFFF" w:themeColor="background1"/>
                <w:sz w:val="28"/>
                <w:szCs w:val="28"/>
              </w:rPr>
              <w:t>PLAN NACIONAL DE CONECTIVIDAD Y BANDA ANCHA “NACIÓN DIGITAL”</w:t>
            </w:r>
          </w:p>
          <w:p w:rsidR="009248AA" w:rsidRDefault="009248AA">
            <w:pPr>
              <w:jc w:val="center"/>
            </w:pPr>
          </w:p>
        </w:tc>
      </w:tr>
      <w:tr w:rsidR="009248AA" w:rsidTr="00924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tcW w:w="4536" w:type="dxa"/>
            <w:shd w:val="clear" w:color="auto" w:fill="B8CCE4"/>
          </w:tcPr>
          <w:p w:rsidR="009248AA" w:rsidRDefault="00005DEF">
            <w:pPr>
              <w:jc w:val="both"/>
            </w:pPr>
            <w:r>
              <w:rPr>
                <w:b/>
              </w:rPr>
              <w:t>Objetivo del Compromiso</w:t>
            </w:r>
          </w:p>
        </w:tc>
        <w:tc>
          <w:tcPr>
            <w:tcW w:w="13467" w:type="dxa"/>
          </w:tcPr>
          <w:p w:rsidR="009248AA" w:rsidRDefault="00BF4041">
            <w:pPr>
              <w:jc w:val="both"/>
            </w:pPr>
            <w:r>
              <w:rPr>
                <w:sz w:val="24"/>
                <w:szCs w:val="24"/>
              </w:rPr>
              <w:t>Dotar de infraestructura tecnológica y contenidos académicos al 20% de los establecimientos educativos del Sector Oficial en Guatemala</w:t>
            </w:r>
          </w:p>
        </w:tc>
      </w:tr>
      <w:tr w:rsidR="009248AA" w:rsidTr="0092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tcW w:w="4536" w:type="dxa"/>
            <w:shd w:val="clear" w:color="auto" w:fill="B8CCE4"/>
          </w:tcPr>
          <w:p w:rsidR="009248AA" w:rsidRDefault="00005DEF">
            <w:pPr>
              <w:jc w:val="both"/>
            </w:pPr>
            <w:r>
              <w:rPr>
                <w:b/>
              </w:rPr>
              <w:t>Responsable/s</w:t>
            </w:r>
          </w:p>
        </w:tc>
        <w:tc>
          <w:tcPr>
            <w:tcW w:w="13467" w:type="dxa"/>
          </w:tcPr>
          <w:p w:rsidR="00BF4041" w:rsidRDefault="00BF4041" w:rsidP="00BF4041">
            <w:pPr>
              <w:jc w:val="both"/>
            </w:pPr>
            <w:r>
              <w:rPr>
                <w:sz w:val="24"/>
                <w:szCs w:val="24"/>
              </w:rPr>
              <w:t>Coordinador: José Raúl Solares Chíu, Superintendente</w:t>
            </w:r>
          </w:p>
          <w:p w:rsidR="00BF4041" w:rsidRDefault="00BF4041" w:rsidP="00BF4041">
            <w:pPr>
              <w:jc w:val="both"/>
            </w:pPr>
            <w:r>
              <w:rPr>
                <w:sz w:val="24"/>
                <w:szCs w:val="24"/>
              </w:rPr>
              <w:t>Ejecutor: Harold Cancinos, Gerente Técnico</w:t>
            </w:r>
          </w:p>
          <w:p w:rsidR="009248AA" w:rsidRDefault="00BF4041" w:rsidP="00BF4041">
            <w:pPr>
              <w:jc w:val="both"/>
            </w:pPr>
            <w:r>
              <w:rPr>
                <w:sz w:val="24"/>
                <w:szCs w:val="24"/>
              </w:rPr>
              <w:t>Superintendencia de Telecomunicaciones / Ministerio de Comunicaciones</w:t>
            </w:r>
          </w:p>
        </w:tc>
      </w:tr>
      <w:tr w:rsidR="009248AA" w:rsidTr="00924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tcW w:w="4536" w:type="dxa"/>
            <w:shd w:val="clear" w:color="auto" w:fill="B8CCE4"/>
          </w:tcPr>
          <w:p w:rsidR="009248AA" w:rsidRDefault="00005DEF">
            <w:pPr>
              <w:jc w:val="both"/>
            </w:pPr>
            <w:r>
              <w:rPr>
                <w:b/>
              </w:rPr>
              <w:t>Otros actores</w:t>
            </w:r>
          </w:p>
        </w:tc>
        <w:tc>
          <w:tcPr>
            <w:tcW w:w="13467" w:type="dxa"/>
          </w:tcPr>
          <w:p w:rsidR="00BF4041" w:rsidRPr="00BF4041" w:rsidRDefault="00BF4041" w:rsidP="00BF4041">
            <w:pPr>
              <w:jc w:val="both"/>
              <w:rPr>
                <w:rFonts w:eastAsia="Times New Roman"/>
              </w:rPr>
            </w:pPr>
            <w:r w:rsidRPr="00BF4041">
              <w:rPr>
                <w:rFonts w:eastAsia="Times New Roman"/>
              </w:rPr>
              <w:t>Entidades del Organismo Ejecutivo, CONADI, ANAM e instituciones que deseen participar</w:t>
            </w:r>
          </w:p>
          <w:p w:rsidR="009248AA" w:rsidRDefault="00BF4041" w:rsidP="00BF4041">
            <w:pPr>
              <w:jc w:val="both"/>
            </w:pPr>
            <w:r w:rsidRPr="00BF4041">
              <w:rPr>
                <w:rFonts w:eastAsia="Times New Roman"/>
              </w:rPr>
              <w:t>Organizaciones  de  Sociedad Civil que participan en Gobierno Abierto y otras interesadas, Universidades, OEA, Operadores de Telecomunicaciones</w:t>
            </w:r>
          </w:p>
        </w:tc>
      </w:tr>
      <w:tr w:rsidR="009248AA" w:rsidTr="0092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4536" w:type="dxa"/>
            <w:shd w:val="clear" w:color="auto" w:fill="B8CCE4"/>
          </w:tcPr>
          <w:p w:rsidR="009248AA" w:rsidRDefault="00005DEF">
            <w:pPr>
              <w:jc w:val="both"/>
            </w:pPr>
            <w:r>
              <w:rPr>
                <w:b/>
              </w:rPr>
              <w:t>Tiempo de cumplimiento</w:t>
            </w:r>
          </w:p>
        </w:tc>
        <w:tc>
          <w:tcPr>
            <w:tcW w:w="13467" w:type="dxa"/>
          </w:tcPr>
          <w:p w:rsidR="009248AA" w:rsidRDefault="00BF4041" w:rsidP="00BF4041">
            <w:pPr>
              <w:jc w:val="both"/>
            </w:pPr>
            <w:r>
              <w:t>1 de Septiembre  2016  al  30 de junio de 2018</w:t>
            </w:r>
          </w:p>
        </w:tc>
      </w:tr>
    </w:tbl>
    <w:p w:rsidR="009248AA" w:rsidRDefault="009248AA">
      <w:pPr>
        <w:spacing w:after="0"/>
        <w:jc w:val="both"/>
      </w:pPr>
    </w:p>
    <w:tbl>
      <w:tblPr>
        <w:tblStyle w:val="a0"/>
        <w:tblW w:w="18143" w:type="dxa"/>
        <w:tblInd w:w="-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04"/>
        <w:gridCol w:w="8784"/>
        <w:gridCol w:w="350"/>
        <w:gridCol w:w="320"/>
        <w:gridCol w:w="365"/>
        <w:gridCol w:w="361"/>
        <w:gridCol w:w="355"/>
        <w:gridCol w:w="405"/>
        <w:gridCol w:w="360"/>
        <w:gridCol w:w="360"/>
        <w:gridCol w:w="350"/>
        <w:gridCol w:w="360"/>
        <w:gridCol w:w="405"/>
        <w:gridCol w:w="289"/>
        <w:gridCol w:w="350"/>
        <w:gridCol w:w="320"/>
        <w:gridCol w:w="365"/>
        <w:gridCol w:w="361"/>
        <w:gridCol w:w="355"/>
        <w:gridCol w:w="324"/>
        <w:gridCol w:w="317"/>
        <w:gridCol w:w="409"/>
        <w:gridCol w:w="350"/>
        <w:gridCol w:w="409"/>
        <w:gridCol w:w="289"/>
      </w:tblGrid>
      <w:tr w:rsidR="009248AA" w:rsidTr="0092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9248AA" w:rsidRDefault="00005DEF">
            <w:pPr>
              <w:jc w:val="center"/>
            </w:pPr>
            <w:r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93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9248AA" w:rsidRDefault="009248AA">
            <w:pPr>
              <w:jc w:val="center"/>
            </w:pPr>
          </w:p>
          <w:p w:rsidR="009248AA" w:rsidRDefault="00005DEF">
            <w:pPr>
              <w:jc w:val="center"/>
            </w:pPr>
            <w:r>
              <w:rPr>
                <w:b/>
                <w:sz w:val="28"/>
                <w:szCs w:val="28"/>
              </w:rPr>
              <w:t>METAS Y ACTIVIDADES</w:t>
            </w:r>
          </w:p>
          <w:p w:rsidR="009248AA" w:rsidRDefault="009248AA">
            <w:pPr>
              <w:jc w:val="center"/>
            </w:pPr>
          </w:p>
        </w:tc>
        <w:tc>
          <w:tcPr>
            <w:tcW w:w="17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428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  <w:sz w:val="28"/>
                <w:szCs w:val="28"/>
              </w:rPr>
              <w:t>2018</w:t>
            </w:r>
          </w:p>
        </w:tc>
      </w:tr>
      <w:tr w:rsidR="00E51294" w:rsidTr="00924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9248AA" w:rsidRDefault="009248AA">
            <w:pPr>
              <w:widowControl w:val="0"/>
              <w:spacing w:line="276" w:lineRule="auto"/>
            </w:pPr>
          </w:p>
        </w:tc>
        <w:tc>
          <w:tcPr>
            <w:tcW w:w="93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:rsidR="009248AA" w:rsidRDefault="009248AA">
            <w:pPr>
              <w:widowControl w:val="0"/>
              <w:spacing w:line="276" w:lineRule="auto"/>
            </w:pPr>
          </w:p>
          <w:p w:rsidR="009248AA" w:rsidRDefault="009248AA">
            <w:pPr>
              <w:jc w:val="center"/>
            </w:pPr>
          </w:p>
          <w:p w:rsidR="009248AA" w:rsidRDefault="009248AA">
            <w:pPr>
              <w:jc w:val="both"/>
            </w:pPr>
          </w:p>
        </w:tc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S</w:t>
            </w:r>
          </w:p>
        </w:tc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N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E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F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J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J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S</w:t>
            </w:r>
          </w:p>
        </w:tc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N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E</w:t>
            </w:r>
          </w:p>
        </w:tc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F</w:t>
            </w:r>
          </w:p>
        </w:tc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9248AA" w:rsidRDefault="00005DEF">
            <w:pPr>
              <w:jc w:val="center"/>
            </w:pPr>
            <w:r>
              <w:rPr>
                <w:b/>
              </w:rPr>
              <w:t>J</w:t>
            </w:r>
          </w:p>
        </w:tc>
      </w:tr>
      <w:tr w:rsidR="00E51294" w:rsidTr="0092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626" w:type="dxa"/>
            <w:vMerge w:val="restart"/>
            <w:tcBorders>
              <w:top w:val="single" w:sz="12" w:space="0" w:color="000000"/>
            </w:tcBorders>
          </w:tcPr>
          <w:p w:rsidR="009248AA" w:rsidRDefault="00005DEF">
            <w:pPr>
              <w:jc w:val="both"/>
            </w:pPr>
            <w:r>
              <w:rPr>
                <w:b/>
              </w:rPr>
              <w:t>1.</w:t>
            </w:r>
          </w:p>
        </w:tc>
        <w:tc>
          <w:tcPr>
            <w:tcW w:w="9388" w:type="dxa"/>
            <w:gridSpan w:val="2"/>
            <w:tcBorders>
              <w:top w:val="single" w:sz="12" w:space="0" w:color="000000"/>
            </w:tcBorders>
          </w:tcPr>
          <w:p w:rsidR="009248AA" w:rsidRDefault="00005DEF">
            <w:r>
              <w:rPr>
                <w:b/>
                <w:sz w:val="24"/>
                <w:szCs w:val="24"/>
              </w:rPr>
              <w:t>Implementar y monitorear un plan piloto en Patzún</w:t>
            </w:r>
            <w:r w:rsidRPr="003C1A2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C1A26">
              <w:rPr>
                <w:b/>
                <w:sz w:val="24"/>
                <w:szCs w:val="24"/>
              </w:rPr>
              <w:t>Pachalum</w:t>
            </w:r>
            <w:proofErr w:type="spellEnd"/>
            <w:r w:rsidRPr="003C1A26">
              <w:rPr>
                <w:b/>
                <w:sz w:val="24"/>
                <w:szCs w:val="24"/>
              </w:rPr>
              <w:t xml:space="preserve"> y Gualán</w:t>
            </w:r>
          </w:p>
          <w:p w:rsidR="009248AA" w:rsidRDefault="009248AA"/>
        </w:tc>
        <w:tc>
          <w:tcPr>
            <w:tcW w:w="350" w:type="dxa"/>
            <w:tcBorders>
              <w:top w:val="single" w:sz="12" w:space="0" w:color="000000"/>
            </w:tcBorders>
            <w:shd w:val="clear" w:color="auto" w:fill="548DD4"/>
          </w:tcPr>
          <w:p w:rsidR="009248AA" w:rsidRDefault="009248AA"/>
        </w:tc>
        <w:tc>
          <w:tcPr>
            <w:tcW w:w="320" w:type="dxa"/>
            <w:tcBorders>
              <w:top w:val="single" w:sz="12" w:space="0" w:color="000000"/>
            </w:tcBorders>
            <w:shd w:val="clear" w:color="auto" w:fill="548DD4"/>
          </w:tcPr>
          <w:p w:rsidR="009248AA" w:rsidRDefault="009248AA"/>
        </w:tc>
        <w:tc>
          <w:tcPr>
            <w:tcW w:w="365" w:type="dxa"/>
            <w:tcBorders>
              <w:top w:val="single" w:sz="12" w:space="0" w:color="000000"/>
            </w:tcBorders>
            <w:shd w:val="clear" w:color="auto" w:fill="548DD4"/>
          </w:tcPr>
          <w:p w:rsidR="009248AA" w:rsidRDefault="009248AA"/>
        </w:tc>
        <w:tc>
          <w:tcPr>
            <w:tcW w:w="3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548DD4"/>
          </w:tcPr>
          <w:p w:rsidR="009248AA" w:rsidRDefault="009248AA"/>
        </w:tc>
        <w:tc>
          <w:tcPr>
            <w:tcW w:w="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48DD4"/>
          </w:tcPr>
          <w:p w:rsidR="009248AA" w:rsidRDefault="009248AA"/>
        </w:tc>
        <w:tc>
          <w:tcPr>
            <w:tcW w:w="40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548DD4"/>
          </w:tcPr>
          <w:p w:rsidR="009248AA" w:rsidRDefault="009248AA"/>
        </w:tc>
        <w:tc>
          <w:tcPr>
            <w:tcW w:w="360" w:type="dxa"/>
            <w:tcBorders>
              <w:top w:val="single" w:sz="12" w:space="0" w:color="000000"/>
            </w:tcBorders>
            <w:shd w:val="clear" w:color="auto" w:fill="EFEFEF"/>
          </w:tcPr>
          <w:p w:rsidR="009248AA" w:rsidRDefault="009248AA"/>
        </w:tc>
        <w:tc>
          <w:tcPr>
            <w:tcW w:w="360" w:type="dxa"/>
            <w:tcBorders>
              <w:top w:val="single" w:sz="12" w:space="0" w:color="000000"/>
            </w:tcBorders>
            <w:shd w:val="clear" w:color="auto" w:fill="EFEFEF"/>
          </w:tcPr>
          <w:p w:rsidR="009248AA" w:rsidRDefault="009248AA"/>
        </w:tc>
        <w:tc>
          <w:tcPr>
            <w:tcW w:w="350" w:type="dxa"/>
            <w:tcBorders>
              <w:top w:val="single" w:sz="12" w:space="0" w:color="000000"/>
            </w:tcBorders>
            <w:shd w:val="clear" w:color="auto" w:fill="EFEFEF"/>
          </w:tcPr>
          <w:p w:rsidR="009248AA" w:rsidRDefault="009248AA"/>
        </w:tc>
        <w:tc>
          <w:tcPr>
            <w:tcW w:w="360" w:type="dxa"/>
            <w:tcBorders>
              <w:top w:val="single" w:sz="12" w:space="0" w:color="000000"/>
            </w:tcBorders>
            <w:shd w:val="clear" w:color="auto" w:fill="EFEFEF"/>
          </w:tcPr>
          <w:p w:rsidR="009248AA" w:rsidRDefault="009248AA"/>
        </w:tc>
        <w:tc>
          <w:tcPr>
            <w:tcW w:w="405" w:type="dxa"/>
            <w:tcBorders>
              <w:top w:val="single" w:sz="12" w:space="0" w:color="000000"/>
            </w:tcBorders>
            <w:shd w:val="clear" w:color="auto" w:fill="EFEFEF"/>
          </w:tcPr>
          <w:p w:rsidR="009248AA" w:rsidRDefault="009248AA"/>
        </w:tc>
        <w:tc>
          <w:tcPr>
            <w:tcW w:w="289" w:type="dxa"/>
            <w:tcBorders>
              <w:top w:val="single" w:sz="12" w:space="0" w:color="000000"/>
            </w:tcBorders>
            <w:shd w:val="clear" w:color="auto" w:fill="EFEFEF"/>
          </w:tcPr>
          <w:p w:rsidR="009248AA" w:rsidRDefault="009248AA"/>
        </w:tc>
        <w:tc>
          <w:tcPr>
            <w:tcW w:w="350" w:type="dxa"/>
            <w:tcBorders>
              <w:top w:val="single" w:sz="12" w:space="0" w:color="000000"/>
            </w:tcBorders>
            <w:shd w:val="clear" w:color="auto" w:fill="EFEFEF"/>
          </w:tcPr>
          <w:p w:rsidR="009248AA" w:rsidRDefault="009248AA"/>
        </w:tc>
        <w:tc>
          <w:tcPr>
            <w:tcW w:w="320" w:type="dxa"/>
            <w:tcBorders>
              <w:top w:val="single" w:sz="12" w:space="0" w:color="000000"/>
            </w:tcBorders>
            <w:shd w:val="clear" w:color="auto" w:fill="EFEFEF"/>
          </w:tcPr>
          <w:p w:rsidR="009248AA" w:rsidRDefault="009248AA"/>
        </w:tc>
        <w:tc>
          <w:tcPr>
            <w:tcW w:w="365" w:type="dxa"/>
            <w:tcBorders>
              <w:top w:val="single" w:sz="12" w:space="0" w:color="000000"/>
            </w:tcBorders>
            <w:shd w:val="clear" w:color="auto" w:fill="EFEFEF"/>
          </w:tcPr>
          <w:p w:rsidR="009248AA" w:rsidRDefault="009248AA"/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EFEFEF"/>
          </w:tcPr>
          <w:p w:rsidR="009248AA" w:rsidRDefault="009248AA"/>
        </w:tc>
        <w:tc>
          <w:tcPr>
            <w:tcW w:w="3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FEFEF"/>
          </w:tcPr>
          <w:p w:rsidR="009248AA" w:rsidRDefault="009248AA"/>
        </w:tc>
        <w:tc>
          <w:tcPr>
            <w:tcW w:w="32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FEFEF"/>
          </w:tcPr>
          <w:p w:rsidR="009248AA" w:rsidRDefault="009248AA"/>
        </w:tc>
        <w:tc>
          <w:tcPr>
            <w:tcW w:w="317" w:type="dxa"/>
            <w:tcBorders>
              <w:top w:val="single" w:sz="12" w:space="0" w:color="000000"/>
            </w:tcBorders>
            <w:shd w:val="clear" w:color="auto" w:fill="EFEFEF"/>
          </w:tcPr>
          <w:p w:rsidR="009248AA" w:rsidRDefault="009248AA"/>
        </w:tc>
        <w:tc>
          <w:tcPr>
            <w:tcW w:w="409" w:type="dxa"/>
            <w:tcBorders>
              <w:top w:val="single" w:sz="12" w:space="0" w:color="000000"/>
            </w:tcBorders>
            <w:shd w:val="clear" w:color="auto" w:fill="EFEFEF"/>
          </w:tcPr>
          <w:p w:rsidR="009248AA" w:rsidRDefault="009248AA"/>
        </w:tc>
        <w:tc>
          <w:tcPr>
            <w:tcW w:w="350" w:type="dxa"/>
            <w:tcBorders>
              <w:top w:val="single" w:sz="12" w:space="0" w:color="000000"/>
            </w:tcBorders>
            <w:shd w:val="clear" w:color="auto" w:fill="EFEFEF"/>
          </w:tcPr>
          <w:p w:rsidR="009248AA" w:rsidRDefault="009248AA"/>
        </w:tc>
        <w:tc>
          <w:tcPr>
            <w:tcW w:w="409" w:type="dxa"/>
            <w:tcBorders>
              <w:top w:val="single" w:sz="12" w:space="0" w:color="000000"/>
            </w:tcBorders>
            <w:shd w:val="clear" w:color="auto" w:fill="EFEFEF"/>
          </w:tcPr>
          <w:p w:rsidR="009248AA" w:rsidRDefault="009248AA"/>
        </w:tc>
        <w:tc>
          <w:tcPr>
            <w:tcW w:w="28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FEFEF"/>
          </w:tcPr>
          <w:p w:rsidR="009248AA" w:rsidRDefault="009248AA"/>
        </w:tc>
      </w:tr>
      <w:tr w:rsidR="009248AA" w:rsidTr="00E512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626" w:type="dxa"/>
            <w:vMerge/>
            <w:tcBorders>
              <w:top w:val="single" w:sz="12" w:space="0" w:color="000000"/>
            </w:tcBorders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r>
              <w:t>1.1</w:t>
            </w:r>
          </w:p>
        </w:tc>
        <w:tc>
          <w:tcPr>
            <w:tcW w:w="8784" w:type="dxa"/>
          </w:tcPr>
          <w:p w:rsidR="009248AA" w:rsidRDefault="00005DEF">
            <w:r>
              <w:rPr>
                <w:sz w:val="24"/>
                <w:szCs w:val="24"/>
              </w:rPr>
              <w:t>Coordinación con autoridades académicas y de Gobierno de los Municipios indicados, así como empresas colaboradoras que aportarán contenidos, equipamiento y capacitadores.</w:t>
            </w:r>
          </w:p>
        </w:tc>
        <w:tc>
          <w:tcPr>
            <w:tcW w:w="350" w:type="dxa"/>
          </w:tcPr>
          <w:p w:rsidR="009248AA" w:rsidRDefault="009248AA"/>
        </w:tc>
        <w:tc>
          <w:tcPr>
            <w:tcW w:w="320" w:type="dxa"/>
            <w:shd w:val="clear" w:color="auto" w:fill="EFEFEF"/>
          </w:tcPr>
          <w:p w:rsidR="009248AA" w:rsidRDefault="009248AA"/>
        </w:tc>
        <w:tc>
          <w:tcPr>
            <w:tcW w:w="365" w:type="dxa"/>
            <w:shd w:val="clear" w:color="auto" w:fill="548DD4"/>
          </w:tcPr>
          <w:p w:rsidR="009248AA" w:rsidRDefault="009248AA"/>
        </w:tc>
        <w:tc>
          <w:tcPr>
            <w:tcW w:w="361" w:type="dxa"/>
            <w:tcBorders>
              <w:right w:val="single" w:sz="12" w:space="0" w:color="000000"/>
            </w:tcBorders>
            <w:shd w:val="clear" w:color="auto" w:fill="548DD4"/>
          </w:tcPr>
          <w:p w:rsidR="009248AA" w:rsidRDefault="009248AA"/>
        </w:tc>
        <w:tc>
          <w:tcPr>
            <w:tcW w:w="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</w:tcPr>
          <w:p w:rsidR="009248AA" w:rsidRDefault="009248AA"/>
        </w:tc>
        <w:tc>
          <w:tcPr>
            <w:tcW w:w="405" w:type="dxa"/>
            <w:tcBorders>
              <w:left w:val="single" w:sz="12" w:space="0" w:color="000000"/>
            </w:tcBorders>
          </w:tcPr>
          <w:p w:rsidR="009248AA" w:rsidRDefault="009248AA"/>
        </w:tc>
        <w:tc>
          <w:tcPr>
            <w:tcW w:w="360" w:type="dxa"/>
          </w:tcPr>
          <w:p w:rsidR="009248AA" w:rsidRDefault="009248AA"/>
        </w:tc>
        <w:tc>
          <w:tcPr>
            <w:tcW w:w="360" w:type="dxa"/>
          </w:tcPr>
          <w:p w:rsidR="009248AA" w:rsidRDefault="009248AA"/>
        </w:tc>
        <w:tc>
          <w:tcPr>
            <w:tcW w:w="350" w:type="dxa"/>
          </w:tcPr>
          <w:p w:rsidR="009248AA" w:rsidRDefault="009248AA"/>
        </w:tc>
        <w:tc>
          <w:tcPr>
            <w:tcW w:w="360" w:type="dxa"/>
          </w:tcPr>
          <w:p w:rsidR="009248AA" w:rsidRDefault="009248AA"/>
        </w:tc>
        <w:tc>
          <w:tcPr>
            <w:tcW w:w="405" w:type="dxa"/>
          </w:tcPr>
          <w:p w:rsidR="009248AA" w:rsidRDefault="009248AA"/>
        </w:tc>
        <w:tc>
          <w:tcPr>
            <w:tcW w:w="289" w:type="dxa"/>
          </w:tcPr>
          <w:p w:rsidR="009248AA" w:rsidRDefault="009248AA"/>
        </w:tc>
        <w:tc>
          <w:tcPr>
            <w:tcW w:w="350" w:type="dxa"/>
          </w:tcPr>
          <w:p w:rsidR="009248AA" w:rsidRDefault="009248AA"/>
        </w:tc>
        <w:tc>
          <w:tcPr>
            <w:tcW w:w="320" w:type="dxa"/>
          </w:tcPr>
          <w:p w:rsidR="009248AA" w:rsidRDefault="009248AA"/>
        </w:tc>
        <w:tc>
          <w:tcPr>
            <w:tcW w:w="365" w:type="dxa"/>
          </w:tcPr>
          <w:p w:rsidR="009248AA" w:rsidRDefault="009248AA"/>
        </w:tc>
        <w:tc>
          <w:tcPr>
            <w:tcW w:w="361" w:type="dxa"/>
          </w:tcPr>
          <w:p w:rsidR="009248AA" w:rsidRDefault="009248AA"/>
        </w:tc>
        <w:tc>
          <w:tcPr>
            <w:tcW w:w="355" w:type="dxa"/>
            <w:tcBorders>
              <w:right w:val="single" w:sz="12" w:space="0" w:color="000000"/>
            </w:tcBorders>
          </w:tcPr>
          <w:p w:rsidR="009248AA" w:rsidRDefault="009248AA"/>
        </w:tc>
        <w:tc>
          <w:tcPr>
            <w:tcW w:w="324" w:type="dxa"/>
            <w:tcBorders>
              <w:left w:val="single" w:sz="12" w:space="0" w:color="000000"/>
            </w:tcBorders>
          </w:tcPr>
          <w:p w:rsidR="009248AA" w:rsidRDefault="009248AA"/>
        </w:tc>
        <w:tc>
          <w:tcPr>
            <w:tcW w:w="317" w:type="dxa"/>
          </w:tcPr>
          <w:p w:rsidR="009248AA" w:rsidRDefault="009248AA"/>
        </w:tc>
        <w:tc>
          <w:tcPr>
            <w:tcW w:w="409" w:type="dxa"/>
          </w:tcPr>
          <w:p w:rsidR="009248AA" w:rsidRDefault="009248AA"/>
        </w:tc>
        <w:tc>
          <w:tcPr>
            <w:tcW w:w="350" w:type="dxa"/>
          </w:tcPr>
          <w:p w:rsidR="009248AA" w:rsidRDefault="009248AA"/>
        </w:tc>
        <w:tc>
          <w:tcPr>
            <w:tcW w:w="409" w:type="dxa"/>
          </w:tcPr>
          <w:p w:rsidR="009248AA" w:rsidRDefault="009248AA"/>
        </w:tc>
        <w:tc>
          <w:tcPr>
            <w:tcW w:w="289" w:type="dxa"/>
            <w:tcBorders>
              <w:right w:val="single" w:sz="12" w:space="0" w:color="000000"/>
            </w:tcBorders>
          </w:tcPr>
          <w:p w:rsidR="009248AA" w:rsidRDefault="009248AA"/>
        </w:tc>
      </w:tr>
      <w:tr w:rsidR="009248AA" w:rsidTr="00E5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626" w:type="dxa"/>
            <w:vMerge/>
            <w:tcBorders>
              <w:top w:val="single" w:sz="12" w:space="0" w:color="000000"/>
            </w:tcBorders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1.2</w:t>
            </w:r>
          </w:p>
        </w:tc>
        <w:tc>
          <w:tcPr>
            <w:tcW w:w="8784" w:type="dxa"/>
          </w:tcPr>
          <w:p w:rsidR="009248AA" w:rsidRDefault="00005DEF">
            <w:r>
              <w:t>Selección de maestros acorde al perfil designado por el MINEDUC de los centros educativos seleccionados en los Municipios indicados.</w:t>
            </w:r>
          </w:p>
        </w:tc>
        <w:tc>
          <w:tcPr>
            <w:tcW w:w="350" w:type="dxa"/>
          </w:tcPr>
          <w:p w:rsidR="009248AA" w:rsidRDefault="009248AA"/>
        </w:tc>
        <w:tc>
          <w:tcPr>
            <w:tcW w:w="320" w:type="dxa"/>
          </w:tcPr>
          <w:p w:rsidR="009248AA" w:rsidRDefault="009248AA"/>
        </w:tc>
        <w:tc>
          <w:tcPr>
            <w:tcW w:w="365" w:type="dxa"/>
          </w:tcPr>
          <w:p w:rsidR="009248AA" w:rsidRDefault="009248AA"/>
        </w:tc>
        <w:tc>
          <w:tcPr>
            <w:tcW w:w="361" w:type="dxa"/>
            <w:tcBorders>
              <w:right w:val="single" w:sz="12" w:space="0" w:color="000000"/>
            </w:tcBorders>
            <w:shd w:val="clear" w:color="auto" w:fill="4A86E8"/>
          </w:tcPr>
          <w:p w:rsidR="009248AA" w:rsidRDefault="009248AA"/>
        </w:tc>
        <w:tc>
          <w:tcPr>
            <w:tcW w:w="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8AA" w:rsidRDefault="009248AA"/>
        </w:tc>
        <w:tc>
          <w:tcPr>
            <w:tcW w:w="405" w:type="dxa"/>
            <w:tcBorders>
              <w:left w:val="single" w:sz="12" w:space="0" w:color="000000"/>
            </w:tcBorders>
          </w:tcPr>
          <w:p w:rsidR="009248AA" w:rsidRDefault="009248AA"/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  <w:tcBorders>
              <w:right w:val="single" w:sz="12" w:space="0" w:color="000000"/>
            </w:tcBorders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  <w:tcBorders>
              <w:left w:val="single" w:sz="12" w:space="0" w:color="000000"/>
            </w:tcBorders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tcBorders>
              <w:right w:val="single" w:sz="12" w:space="0" w:color="000000"/>
            </w:tcBorders>
          </w:tcPr>
          <w:p w:rsidR="009248AA" w:rsidRDefault="009248AA">
            <w:pPr>
              <w:jc w:val="both"/>
            </w:pPr>
          </w:p>
        </w:tc>
      </w:tr>
      <w:tr w:rsidR="009248AA" w:rsidTr="00E512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626" w:type="dxa"/>
            <w:vMerge/>
            <w:tcBorders>
              <w:top w:val="single" w:sz="12" w:space="0" w:color="000000"/>
            </w:tcBorders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1.3</w:t>
            </w:r>
          </w:p>
        </w:tc>
        <w:tc>
          <w:tcPr>
            <w:tcW w:w="8784" w:type="dxa"/>
          </w:tcPr>
          <w:p w:rsidR="009248AA" w:rsidRDefault="00005DEF">
            <w:r>
              <w:t xml:space="preserve">Capacitación de iniciación a Maestros en el uso de las TIC a realizarse en el Municipio de </w:t>
            </w:r>
            <w:proofErr w:type="spellStart"/>
            <w:r>
              <w:t>Pachalum</w:t>
            </w:r>
            <w:proofErr w:type="spellEnd"/>
          </w:p>
        </w:tc>
        <w:tc>
          <w:tcPr>
            <w:tcW w:w="350" w:type="dxa"/>
          </w:tcPr>
          <w:p w:rsidR="009248AA" w:rsidRDefault="009248AA"/>
        </w:tc>
        <w:tc>
          <w:tcPr>
            <w:tcW w:w="320" w:type="dxa"/>
          </w:tcPr>
          <w:p w:rsidR="009248AA" w:rsidRDefault="009248AA"/>
        </w:tc>
        <w:tc>
          <w:tcPr>
            <w:tcW w:w="365" w:type="dxa"/>
          </w:tcPr>
          <w:p w:rsidR="009248AA" w:rsidRDefault="009248AA"/>
        </w:tc>
        <w:tc>
          <w:tcPr>
            <w:tcW w:w="361" w:type="dxa"/>
            <w:tcBorders>
              <w:right w:val="single" w:sz="12" w:space="0" w:color="000000"/>
            </w:tcBorders>
            <w:shd w:val="clear" w:color="auto" w:fill="4A86E8"/>
          </w:tcPr>
          <w:p w:rsidR="009248AA" w:rsidRDefault="009248AA"/>
        </w:tc>
        <w:tc>
          <w:tcPr>
            <w:tcW w:w="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8AA" w:rsidRDefault="009248AA"/>
        </w:tc>
        <w:tc>
          <w:tcPr>
            <w:tcW w:w="405" w:type="dxa"/>
            <w:tcBorders>
              <w:left w:val="single" w:sz="12" w:space="0" w:color="000000"/>
            </w:tcBorders>
          </w:tcPr>
          <w:p w:rsidR="009248AA" w:rsidRDefault="009248AA"/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  <w:tcBorders>
              <w:right w:val="single" w:sz="12" w:space="0" w:color="000000"/>
            </w:tcBorders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  <w:tcBorders>
              <w:left w:val="single" w:sz="12" w:space="0" w:color="000000"/>
            </w:tcBorders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tcBorders>
              <w:right w:val="single" w:sz="12" w:space="0" w:color="000000"/>
            </w:tcBorders>
          </w:tcPr>
          <w:p w:rsidR="009248AA" w:rsidRDefault="009248AA">
            <w:pPr>
              <w:jc w:val="both"/>
            </w:pPr>
          </w:p>
        </w:tc>
      </w:tr>
      <w:tr w:rsidR="009248AA" w:rsidTr="00E5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626" w:type="dxa"/>
            <w:vMerge/>
            <w:tcBorders>
              <w:top w:val="single" w:sz="12" w:space="0" w:color="000000"/>
            </w:tcBorders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1.4</w:t>
            </w:r>
          </w:p>
        </w:tc>
        <w:tc>
          <w:tcPr>
            <w:tcW w:w="8784" w:type="dxa"/>
          </w:tcPr>
          <w:p w:rsidR="009248AA" w:rsidRDefault="00005DEF">
            <w:r>
              <w:t>Evaluación de la capacitación inicial</w:t>
            </w:r>
          </w:p>
        </w:tc>
        <w:tc>
          <w:tcPr>
            <w:tcW w:w="350" w:type="dxa"/>
          </w:tcPr>
          <w:p w:rsidR="009248AA" w:rsidRDefault="009248AA"/>
        </w:tc>
        <w:tc>
          <w:tcPr>
            <w:tcW w:w="320" w:type="dxa"/>
          </w:tcPr>
          <w:p w:rsidR="009248AA" w:rsidRDefault="009248AA"/>
        </w:tc>
        <w:tc>
          <w:tcPr>
            <w:tcW w:w="365" w:type="dxa"/>
          </w:tcPr>
          <w:p w:rsidR="009248AA" w:rsidRDefault="009248AA"/>
        </w:tc>
        <w:tc>
          <w:tcPr>
            <w:tcW w:w="361" w:type="dxa"/>
            <w:tcBorders>
              <w:right w:val="single" w:sz="12" w:space="0" w:color="000000"/>
            </w:tcBorders>
            <w:shd w:val="clear" w:color="auto" w:fill="4A86E8"/>
          </w:tcPr>
          <w:p w:rsidR="009248AA" w:rsidRDefault="009248AA"/>
        </w:tc>
        <w:tc>
          <w:tcPr>
            <w:tcW w:w="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8AA" w:rsidRDefault="009248AA"/>
        </w:tc>
        <w:tc>
          <w:tcPr>
            <w:tcW w:w="405" w:type="dxa"/>
            <w:tcBorders>
              <w:left w:val="single" w:sz="12" w:space="0" w:color="000000"/>
            </w:tcBorders>
          </w:tcPr>
          <w:p w:rsidR="009248AA" w:rsidRDefault="009248AA"/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  <w:tcBorders>
              <w:right w:val="single" w:sz="12" w:space="0" w:color="000000"/>
            </w:tcBorders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  <w:tcBorders>
              <w:left w:val="single" w:sz="12" w:space="0" w:color="000000"/>
            </w:tcBorders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tcBorders>
              <w:right w:val="single" w:sz="12" w:space="0" w:color="000000"/>
            </w:tcBorders>
          </w:tcPr>
          <w:p w:rsidR="009248AA" w:rsidRDefault="009248AA">
            <w:pPr>
              <w:jc w:val="both"/>
            </w:pPr>
          </w:p>
        </w:tc>
      </w:tr>
      <w:tr w:rsidR="00E51294" w:rsidTr="009248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626" w:type="dxa"/>
            <w:vMerge w:val="restart"/>
          </w:tcPr>
          <w:p w:rsidR="009248AA" w:rsidRDefault="00005DEF">
            <w:pPr>
              <w:jc w:val="both"/>
            </w:pPr>
            <w:r>
              <w:rPr>
                <w:b/>
              </w:rPr>
              <w:t>2.</w:t>
            </w:r>
          </w:p>
        </w:tc>
        <w:tc>
          <w:tcPr>
            <w:tcW w:w="9738" w:type="dxa"/>
            <w:gridSpan w:val="3"/>
          </w:tcPr>
          <w:p w:rsidR="009248AA" w:rsidRDefault="00005DEF">
            <w:r>
              <w:rPr>
                <w:b/>
                <w:sz w:val="24"/>
                <w:szCs w:val="24"/>
              </w:rPr>
              <w:t>Implementación y seguimiento de mesas técnicas multidisciplinarias, integradas por actores interesados para fortalecer e implementar efectivamente el eje de educación</w:t>
            </w:r>
          </w:p>
        </w:tc>
        <w:tc>
          <w:tcPr>
            <w:tcW w:w="320" w:type="dxa"/>
            <w:shd w:val="clear" w:color="auto" w:fill="548DD4"/>
          </w:tcPr>
          <w:p w:rsidR="009248AA" w:rsidRDefault="009248AA"/>
        </w:tc>
        <w:tc>
          <w:tcPr>
            <w:tcW w:w="365" w:type="dxa"/>
            <w:shd w:val="clear" w:color="auto" w:fill="548DD4"/>
          </w:tcPr>
          <w:p w:rsidR="009248AA" w:rsidRDefault="009248AA"/>
        </w:tc>
        <w:tc>
          <w:tcPr>
            <w:tcW w:w="361" w:type="dxa"/>
            <w:tcBorders>
              <w:right w:val="single" w:sz="12" w:space="0" w:color="000000"/>
            </w:tcBorders>
            <w:shd w:val="clear" w:color="auto" w:fill="548DD4"/>
          </w:tcPr>
          <w:p w:rsidR="009248AA" w:rsidRDefault="009248AA"/>
        </w:tc>
        <w:tc>
          <w:tcPr>
            <w:tcW w:w="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48DD4"/>
          </w:tcPr>
          <w:p w:rsidR="009248AA" w:rsidRDefault="009248AA"/>
        </w:tc>
        <w:tc>
          <w:tcPr>
            <w:tcW w:w="405" w:type="dxa"/>
            <w:tcBorders>
              <w:left w:val="single" w:sz="12" w:space="0" w:color="000000"/>
            </w:tcBorders>
            <w:shd w:val="clear" w:color="auto" w:fill="548DD4"/>
          </w:tcPr>
          <w:p w:rsidR="009248AA" w:rsidRDefault="009248AA"/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  <w:tcBorders>
              <w:right w:val="single" w:sz="12" w:space="0" w:color="000000"/>
            </w:tcBorders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  <w:tcBorders>
              <w:left w:val="single" w:sz="12" w:space="0" w:color="000000"/>
            </w:tcBorders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tcBorders>
              <w:right w:val="single" w:sz="12" w:space="0" w:color="000000"/>
            </w:tcBorders>
            <w:shd w:val="clear" w:color="auto" w:fill="548DD4"/>
          </w:tcPr>
          <w:p w:rsidR="009248AA" w:rsidRDefault="009248AA">
            <w:pPr>
              <w:jc w:val="both"/>
            </w:pPr>
          </w:p>
        </w:tc>
      </w:tr>
      <w:tr w:rsidR="009248AA" w:rsidTr="00E5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2.1</w:t>
            </w:r>
          </w:p>
        </w:tc>
        <w:tc>
          <w:tcPr>
            <w:tcW w:w="8784" w:type="dxa"/>
          </w:tcPr>
          <w:p w:rsidR="009248AA" w:rsidRDefault="00005DEF">
            <w:r>
              <w:t>Coordinación y celebración de 1er acercamiento</w:t>
            </w:r>
          </w:p>
        </w:tc>
        <w:tc>
          <w:tcPr>
            <w:tcW w:w="350" w:type="dxa"/>
          </w:tcPr>
          <w:p w:rsidR="009248AA" w:rsidRDefault="009248AA"/>
        </w:tc>
        <w:tc>
          <w:tcPr>
            <w:tcW w:w="320" w:type="dxa"/>
          </w:tcPr>
          <w:p w:rsidR="009248AA" w:rsidRDefault="009248AA"/>
        </w:tc>
        <w:tc>
          <w:tcPr>
            <w:tcW w:w="365" w:type="dxa"/>
          </w:tcPr>
          <w:p w:rsidR="009248AA" w:rsidRDefault="009248AA"/>
        </w:tc>
        <w:tc>
          <w:tcPr>
            <w:tcW w:w="361" w:type="dxa"/>
            <w:tcBorders>
              <w:right w:val="single" w:sz="12" w:space="0" w:color="000000"/>
            </w:tcBorders>
            <w:shd w:val="clear" w:color="auto" w:fill="548DD4"/>
          </w:tcPr>
          <w:p w:rsidR="009248AA" w:rsidRDefault="009248AA"/>
        </w:tc>
        <w:tc>
          <w:tcPr>
            <w:tcW w:w="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8AA" w:rsidRDefault="009248AA"/>
        </w:tc>
        <w:tc>
          <w:tcPr>
            <w:tcW w:w="405" w:type="dxa"/>
            <w:tcBorders>
              <w:left w:val="single" w:sz="12" w:space="0" w:color="000000"/>
            </w:tcBorders>
          </w:tcPr>
          <w:p w:rsidR="009248AA" w:rsidRDefault="009248AA"/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  <w:tcBorders>
              <w:right w:val="single" w:sz="12" w:space="0" w:color="000000"/>
            </w:tcBorders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  <w:tcBorders>
              <w:left w:val="single" w:sz="12" w:space="0" w:color="000000"/>
            </w:tcBorders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tcBorders>
              <w:right w:val="single" w:sz="12" w:space="0" w:color="000000"/>
            </w:tcBorders>
          </w:tcPr>
          <w:p w:rsidR="009248AA" w:rsidRDefault="009248AA">
            <w:pPr>
              <w:jc w:val="both"/>
            </w:pPr>
          </w:p>
        </w:tc>
      </w:tr>
      <w:tr w:rsidR="009248AA" w:rsidTr="00E512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2.2</w:t>
            </w:r>
          </w:p>
        </w:tc>
        <w:tc>
          <w:tcPr>
            <w:tcW w:w="8784" w:type="dxa"/>
          </w:tcPr>
          <w:p w:rsidR="009248AA" w:rsidRDefault="00005DEF">
            <w:r>
              <w:t>Socialización del Plan de Trabajo con Mesa Técnica Multidisciplinaria</w:t>
            </w:r>
          </w:p>
        </w:tc>
        <w:tc>
          <w:tcPr>
            <w:tcW w:w="350" w:type="dxa"/>
          </w:tcPr>
          <w:p w:rsidR="009248AA" w:rsidRDefault="009248AA"/>
        </w:tc>
        <w:tc>
          <w:tcPr>
            <w:tcW w:w="320" w:type="dxa"/>
          </w:tcPr>
          <w:p w:rsidR="009248AA" w:rsidRDefault="009248AA"/>
        </w:tc>
        <w:tc>
          <w:tcPr>
            <w:tcW w:w="365" w:type="dxa"/>
          </w:tcPr>
          <w:p w:rsidR="009248AA" w:rsidRDefault="009248AA"/>
        </w:tc>
        <w:tc>
          <w:tcPr>
            <w:tcW w:w="361" w:type="dxa"/>
            <w:tcBorders>
              <w:right w:val="single" w:sz="12" w:space="0" w:color="000000"/>
            </w:tcBorders>
            <w:shd w:val="clear" w:color="auto" w:fill="548DD4"/>
          </w:tcPr>
          <w:p w:rsidR="009248AA" w:rsidRDefault="009248AA"/>
        </w:tc>
        <w:tc>
          <w:tcPr>
            <w:tcW w:w="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8AA" w:rsidRDefault="009248AA"/>
        </w:tc>
        <w:tc>
          <w:tcPr>
            <w:tcW w:w="405" w:type="dxa"/>
            <w:tcBorders>
              <w:left w:val="single" w:sz="12" w:space="0" w:color="000000"/>
            </w:tcBorders>
          </w:tcPr>
          <w:p w:rsidR="009248AA" w:rsidRDefault="009248AA"/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  <w:tcBorders>
              <w:right w:val="single" w:sz="12" w:space="0" w:color="000000"/>
            </w:tcBorders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  <w:tcBorders>
              <w:left w:val="single" w:sz="12" w:space="0" w:color="000000"/>
            </w:tcBorders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tcBorders>
              <w:right w:val="single" w:sz="12" w:space="0" w:color="000000"/>
            </w:tcBorders>
          </w:tcPr>
          <w:p w:rsidR="009248AA" w:rsidRDefault="009248AA">
            <w:pPr>
              <w:jc w:val="both"/>
            </w:pPr>
          </w:p>
        </w:tc>
      </w:tr>
      <w:tr w:rsidR="009248AA" w:rsidTr="00E5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2.3</w:t>
            </w:r>
          </w:p>
        </w:tc>
        <w:tc>
          <w:tcPr>
            <w:tcW w:w="8784" w:type="dxa"/>
          </w:tcPr>
          <w:p w:rsidR="009248AA" w:rsidRDefault="00005DEF">
            <w:r>
              <w:t>Segundo acercamiento, definición de participación en las actividades y discusión de la calendarización de reuniones de la mesa técnica multidisciplinaria.</w:t>
            </w:r>
          </w:p>
        </w:tc>
        <w:tc>
          <w:tcPr>
            <w:tcW w:w="350" w:type="dxa"/>
          </w:tcPr>
          <w:p w:rsidR="009248AA" w:rsidRDefault="009248AA"/>
        </w:tc>
        <w:tc>
          <w:tcPr>
            <w:tcW w:w="320" w:type="dxa"/>
          </w:tcPr>
          <w:p w:rsidR="009248AA" w:rsidRDefault="009248AA"/>
        </w:tc>
        <w:tc>
          <w:tcPr>
            <w:tcW w:w="365" w:type="dxa"/>
          </w:tcPr>
          <w:p w:rsidR="009248AA" w:rsidRDefault="009248AA"/>
        </w:tc>
        <w:tc>
          <w:tcPr>
            <w:tcW w:w="361" w:type="dxa"/>
            <w:tcBorders>
              <w:right w:val="single" w:sz="12" w:space="0" w:color="000000"/>
            </w:tcBorders>
          </w:tcPr>
          <w:p w:rsidR="009248AA" w:rsidRDefault="009248AA"/>
        </w:tc>
        <w:tc>
          <w:tcPr>
            <w:tcW w:w="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48DD4"/>
          </w:tcPr>
          <w:p w:rsidR="009248AA" w:rsidRDefault="009248AA"/>
        </w:tc>
        <w:tc>
          <w:tcPr>
            <w:tcW w:w="405" w:type="dxa"/>
            <w:tcBorders>
              <w:left w:val="single" w:sz="12" w:space="0" w:color="000000"/>
            </w:tcBorders>
          </w:tcPr>
          <w:p w:rsidR="009248AA" w:rsidRDefault="009248AA"/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</w:tr>
      <w:tr w:rsidR="009248AA" w:rsidTr="00E512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2.4</w:t>
            </w:r>
          </w:p>
        </w:tc>
        <w:tc>
          <w:tcPr>
            <w:tcW w:w="8784" w:type="dxa"/>
          </w:tcPr>
          <w:p w:rsidR="009248AA" w:rsidRDefault="00005DEF">
            <w:r>
              <w:t>Calendarización y publicación de compromisos adquiridos por los distintos sectores</w:t>
            </w:r>
          </w:p>
        </w:tc>
        <w:tc>
          <w:tcPr>
            <w:tcW w:w="350" w:type="dxa"/>
          </w:tcPr>
          <w:p w:rsidR="009248AA" w:rsidRDefault="009248AA"/>
        </w:tc>
        <w:tc>
          <w:tcPr>
            <w:tcW w:w="320" w:type="dxa"/>
          </w:tcPr>
          <w:p w:rsidR="009248AA" w:rsidRDefault="009248AA"/>
        </w:tc>
        <w:tc>
          <w:tcPr>
            <w:tcW w:w="365" w:type="dxa"/>
          </w:tcPr>
          <w:p w:rsidR="009248AA" w:rsidRDefault="009248AA"/>
        </w:tc>
        <w:tc>
          <w:tcPr>
            <w:tcW w:w="361" w:type="dxa"/>
            <w:tcBorders>
              <w:right w:val="single" w:sz="12" w:space="0" w:color="000000"/>
            </w:tcBorders>
            <w:shd w:val="clear" w:color="auto" w:fill="548DD4"/>
          </w:tcPr>
          <w:p w:rsidR="009248AA" w:rsidRDefault="009248AA"/>
        </w:tc>
        <w:tc>
          <w:tcPr>
            <w:tcW w:w="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</w:tcPr>
          <w:p w:rsidR="009248AA" w:rsidRDefault="009248AA"/>
        </w:tc>
        <w:tc>
          <w:tcPr>
            <w:tcW w:w="405" w:type="dxa"/>
            <w:tcBorders>
              <w:left w:val="single" w:sz="12" w:space="0" w:color="000000"/>
            </w:tcBorders>
          </w:tcPr>
          <w:p w:rsidR="009248AA" w:rsidRDefault="009248AA"/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</w:tr>
      <w:tr w:rsidR="00E51294" w:rsidTr="0092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626" w:type="dxa"/>
            <w:vMerge w:val="restart"/>
          </w:tcPr>
          <w:p w:rsidR="009248AA" w:rsidRDefault="00005DEF">
            <w:pPr>
              <w:jc w:val="both"/>
            </w:pPr>
            <w:r>
              <w:rPr>
                <w:b/>
              </w:rPr>
              <w:t>3.</w:t>
            </w:r>
          </w:p>
        </w:tc>
        <w:tc>
          <w:tcPr>
            <w:tcW w:w="9388" w:type="dxa"/>
            <w:gridSpan w:val="2"/>
          </w:tcPr>
          <w:p w:rsidR="009248AA" w:rsidRDefault="00005DEF">
            <w:r>
              <w:rPr>
                <w:b/>
                <w:sz w:val="24"/>
                <w:szCs w:val="24"/>
              </w:rPr>
              <w:t>Estudio de factibilidad sobre el 20% de las  escuelas que serán beneficiadas</w:t>
            </w:r>
          </w:p>
        </w:tc>
        <w:tc>
          <w:tcPr>
            <w:tcW w:w="350" w:type="dxa"/>
            <w:shd w:val="clear" w:color="auto" w:fill="4A86E8"/>
          </w:tcPr>
          <w:p w:rsidR="009248AA" w:rsidRDefault="009248AA"/>
        </w:tc>
        <w:tc>
          <w:tcPr>
            <w:tcW w:w="320" w:type="dxa"/>
            <w:shd w:val="clear" w:color="auto" w:fill="4A86E8"/>
          </w:tcPr>
          <w:p w:rsidR="009248AA" w:rsidRDefault="009248AA"/>
        </w:tc>
        <w:tc>
          <w:tcPr>
            <w:tcW w:w="365" w:type="dxa"/>
            <w:shd w:val="clear" w:color="auto" w:fill="4A86E8"/>
          </w:tcPr>
          <w:p w:rsidR="009248AA" w:rsidRDefault="009248AA"/>
        </w:tc>
        <w:tc>
          <w:tcPr>
            <w:tcW w:w="361" w:type="dxa"/>
            <w:shd w:val="clear" w:color="auto" w:fill="4A86E8"/>
          </w:tcPr>
          <w:p w:rsidR="009248AA" w:rsidRDefault="009248AA"/>
        </w:tc>
        <w:tc>
          <w:tcPr>
            <w:tcW w:w="355" w:type="dxa"/>
            <w:tcBorders>
              <w:top w:val="single" w:sz="12" w:space="0" w:color="000000"/>
            </w:tcBorders>
            <w:shd w:val="clear" w:color="auto" w:fill="4A86E8"/>
          </w:tcPr>
          <w:p w:rsidR="009248AA" w:rsidRDefault="009248AA"/>
        </w:tc>
        <w:tc>
          <w:tcPr>
            <w:tcW w:w="405" w:type="dxa"/>
            <w:shd w:val="clear" w:color="auto" w:fill="548DD4"/>
          </w:tcPr>
          <w:p w:rsidR="009248AA" w:rsidRDefault="009248AA"/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shd w:val="clear" w:color="auto" w:fill="EFEFEF"/>
          </w:tcPr>
          <w:p w:rsidR="009248AA" w:rsidRDefault="009248AA">
            <w:pPr>
              <w:jc w:val="both"/>
            </w:pPr>
          </w:p>
        </w:tc>
      </w:tr>
      <w:tr w:rsidR="00E51294" w:rsidTr="00E512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3.1</w:t>
            </w:r>
          </w:p>
        </w:tc>
        <w:tc>
          <w:tcPr>
            <w:tcW w:w="8784" w:type="dxa"/>
          </w:tcPr>
          <w:p w:rsidR="009248AA" w:rsidRDefault="00005DEF">
            <w:r>
              <w:t>Selección de Departamentos, municipios y establecimientos</w:t>
            </w: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shd w:val="clear" w:color="auto" w:fill="EFEFEF"/>
          </w:tcPr>
          <w:p w:rsidR="009248AA" w:rsidRDefault="009248AA">
            <w:pPr>
              <w:jc w:val="both"/>
            </w:pPr>
          </w:p>
        </w:tc>
      </w:tr>
      <w:tr w:rsidR="009248AA" w:rsidTr="00E5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3.2</w:t>
            </w:r>
          </w:p>
        </w:tc>
        <w:tc>
          <w:tcPr>
            <w:tcW w:w="8784" w:type="dxa"/>
          </w:tcPr>
          <w:p w:rsidR="009248AA" w:rsidRDefault="00005DEF">
            <w:r>
              <w:t>Evaluación de la situación actual de los establecimientos seleccionados</w:t>
            </w:r>
          </w:p>
        </w:tc>
        <w:tc>
          <w:tcPr>
            <w:tcW w:w="35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</w:tr>
      <w:tr w:rsidR="009248AA" w:rsidTr="00E512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3.3</w:t>
            </w:r>
          </w:p>
        </w:tc>
        <w:tc>
          <w:tcPr>
            <w:tcW w:w="8784" w:type="dxa"/>
          </w:tcPr>
          <w:p w:rsidR="009248AA" w:rsidRDefault="00005DEF">
            <w:r>
              <w:t>Evaluación de cobertura de conectividad en los Departamentos y Municipios seleccionados</w:t>
            </w: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</w:tr>
      <w:tr w:rsidR="009248AA" w:rsidTr="00E5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3.4</w:t>
            </w:r>
          </w:p>
        </w:tc>
        <w:tc>
          <w:tcPr>
            <w:tcW w:w="8784" w:type="dxa"/>
          </w:tcPr>
          <w:p w:rsidR="009248AA" w:rsidRDefault="00005DEF">
            <w:r>
              <w:t xml:space="preserve">Integración de información cualitativa y cuantitativa </w:t>
            </w: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</w:tr>
      <w:tr w:rsidR="009248AA" w:rsidTr="00E512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3.5</w:t>
            </w:r>
          </w:p>
        </w:tc>
        <w:tc>
          <w:tcPr>
            <w:tcW w:w="8784" w:type="dxa"/>
          </w:tcPr>
          <w:p w:rsidR="009248AA" w:rsidRDefault="00005DEF">
            <w:r>
              <w:t>Publicación del estudio de factibilidad y diagnóstico general</w:t>
            </w: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</w:tr>
      <w:tr w:rsidR="00E51294" w:rsidTr="0092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626" w:type="dxa"/>
            <w:vMerge w:val="restart"/>
          </w:tcPr>
          <w:p w:rsidR="009248AA" w:rsidRDefault="00005DEF">
            <w:pPr>
              <w:jc w:val="both"/>
            </w:pPr>
            <w:r>
              <w:rPr>
                <w:b/>
              </w:rPr>
              <w:t>4.</w:t>
            </w:r>
          </w:p>
        </w:tc>
        <w:tc>
          <w:tcPr>
            <w:tcW w:w="9388" w:type="dxa"/>
            <w:gridSpan w:val="2"/>
          </w:tcPr>
          <w:p w:rsidR="009248AA" w:rsidRDefault="00005DEF">
            <w:r>
              <w:rPr>
                <w:b/>
                <w:sz w:val="24"/>
                <w:szCs w:val="24"/>
              </w:rPr>
              <w:t>Capacitación a catedráticos en competencias digitales</w:t>
            </w:r>
          </w:p>
        </w:tc>
        <w:tc>
          <w:tcPr>
            <w:tcW w:w="350" w:type="dxa"/>
            <w:shd w:val="clear" w:color="auto" w:fill="F3F3F3"/>
          </w:tcPr>
          <w:p w:rsidR="009248AA" w:rsidRDefault="009248AA"/>
        </w:tc>
        <w:tc>
          <w:tcPr>
            <w:tcW w:w="320" w:type="dxa"/>
            <w:shd w:val="clear" w:color="auto" w:fill="F3F3F3"/>
          </w:tcPr>
          <w:p w:rsidR="009248AA" w:rsidRDefault="009248AA"/>
        </w:tc>
        <w:tc>
          <w:tcPr>
            <w:tcW w:w="365" w:type="dxa"/>
            <w:shd w:val="clear" w:color="auto" w:fill="F3F3F3"/>
          </w:tcPr>
          <w:p w:rsidR="009248AA" w:rsidRDefault="009248AA"/>
        </w:tc>
        <w:tc>
          <w:tcPr>
            <w:tcW w:w="361" w:type="dxa"/>
            <w:shd w:val="clear" w:color="auto" w:fill="F3F3F3"/>
          </w:tcPr>
          <w:p w:rsidR="009248AA" w:rsidRDefault="009248AA"/>
        </w:tc>
        <w:tc>
          <w:tcPr>
            <w:tcW w:w="355" w:type="dxa"/>
            <w:tcBorders>
              <w:top w:val="single" w:sz="12" w:space="0" w:color="000000"/>
            </w:tcBorders>
            <w:shd w:val="clear" w:color="auto" w:fill="F3F3F3"/>
          </w:tcPr>
          <w:p w:rsidR="009248AA" w:rsidRDefault="009248AA"/>
        </w:tc>
        <w:tc>
          <w:tcPr>
            <w:tcW w:w="405" w:type="dxa"/>
            <w:shd w:val="clear" w:color="auto" w:fill="F3F3F3"/>
          </w:tcPr>
          <w:p w:rsidR="009248AA" w:rsidRDefault="009248AA"/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4A86E8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  <w:shd w:val="clear" w:color="auto" w:fill="4A86E8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shd w:val="clear" w:color="auto" w:fill="4A86E8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4A86E8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  <w:shd w:val="clear" w:color="auto" w:fill="4A86E8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  <w:shd w:val="clear" w:color="auto" w:fill="4A86E8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  <w:shd w:val="clear" w:color="auto" w:fill="4A86E8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  <w:shd w:val="clear" w:color="auto" w:fill="4A86E8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  <w:shd w:val="clear" w:color="auto" w:fill="4A86E8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  <w:shd w:val="clear" w:color="auto" w:fill="4A86E8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4A86E8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4A86E8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4A86E8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shd w:val="clear" w:color="auto" w:fill="4A86E8"/>
          </w:tcPr>
          <w:p w:rsidR="009248AA" w:rsidRDefault="009248AA">
            <w:pPr>
              <w:jc w:val="both"/>
            </w:pPr>
          </w:p>
        </w:tc>
      </w:tr>
      <w:tr w:rsidR="00E51294" w:rsidTr="00E512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4.1</w:t>
            </w:r>
          </w:p>
        </w:tc>
        <w:tc>
          <w:tcPr>
            <w:tcW w:w="8784" w:type="dxa"/>
          </w:tcPr>
          <w:p w:rsidR="009248AA" w:rsidRDefault="00005DEF">
            <w:r>
              <w:t>Evaluación de la metodología para capacitación</w:t>
            </w: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4A86E8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shd w:val="clear" w:color="auto" w:fill="EFEFEF"/>
          </w:tcPr>
          <w:p w:rsidR="009248AA" w:rsidRDefault="009248AA">
            <w:pPr>
              <w:jc w:val="both"/>
            </w:pPr>
          </w:p>
        </w:tc>
      </w:tr>
      <w:tr w:rsidR="009248AA" w:rsidTr="00E5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4.2</w:t>
            </w:r>
          </w:p>
        </w:tc>
        <w:tc>
          <w:tcPr>
            <w:tcW w:w="8784" w:type="dxa"/>
          </w:tcPr>
          <w:p w:rsidR="009248AA" w:rsidRDefault="00005DEF">
            <w:r>
              <w:t>Planificación y evaluación de logística de la capacitación</w:t>
            </w:r>
          </w:p>
        </w:tc>
        <w:tc>
          <w:tcPr>
            <w:tcW w:w="35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</w:tr>
      <w:tr w:rsidR="009248AA" w:rsidTr="00E512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4.3</w:t>
            </w:r>
          </w:p>
        </w:tc>
        <w:tc>
          <w:tcPr>
            <w:tcW w:w="8784" w:type="dxa"/>
          </w:tcPr>
          <w:p w:rsidR="009248AA" w:rsidRDefault="00005DEF">
            <w:r>
              <w:t>Planificación y coordinación de las capacitaciones en los 8 Departamentos seleccionados</w:t>
            </w: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</w:tr>
      <w:tr w:rsidR="009248AA" w:rsidTr="00E5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4.4</w:t>
            </w:r>
          </w:p>
        </w:tc>
        <w:tc>
          <w:tcPr>
            <w:tcW w:w="8784" w:type="dxa"/>
          </w:tcPr>
          <w:p w:rsidR="009248AA" w:rsidRDefault="00005DEF">
            <w:r>
              <w:t>Seguimiento y monitoreo de las Capacitaciones</w:t>
            </w: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</w:tr>
      <w:tr w:rsidR="009248AA" w:rsidTr="00E512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4.5</w:t>
            </w:r>
          </w:p>
        </w:tc>
        <w:tc>
          <w:tcPr>
            <w:tcW w:w="8784" w:type="dxa"/>
          </w:tcPr>
          <w:p w:rsidR="009248AA" w:rsidRDefault="00005DEF">
            <w:r>
              <w:t>Evaluación final de resultado de capacitación</w:t>
            </w: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</w:tr>
      <w:tr w:rsidR="00E51294" w:rsidTr="0092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626" w:type="dxa"/>
            <w:vMerge w:val="restart"/>
          </w:tcPr>
          <w:p w:rsidR="009248AA" w:rsidRDefault="00005DEF">
            <w:pPr>
              <w:jc w:val="both"/>
            </w:pPr>
            <w:r>
              <w:rPr>
                <w:b/>
              </w:rPr>
              <w:t>5.</w:t>
            </w:r>
          </w:p>
        </w:tc>
        <w:tc>
          <w:tcPr>
            <w:tcW w:w="9388" w:type="dxa"/>
            <w:gridSpan w:val="2"/>
          </w:tcPr>
          <w:p w:rsidR="009248AA" w:rsidRDefault="00005DEF">
            <w:r>
              <w:rPr>
                <w:b/>
                <w:sz w:val="24"/>
                <w:szCs w:val="24"/>
              </w:rPr>
              <w:t>Implementación del Plan Nacional de Conectividad y Banda Ancha “Nación Digital” Fase 1-Eje de Educación</w:t>
            </w:r>
          </w:p>
        </w:tc>
        <w:tc>
          <w:tcPr>
            <w:tcW w:w="350" w:type="dxa"/>
            <w:shd w:val="clear" w:color="auto" w:fill="4A86E8"/>
          </w:tcPr>
          <w:p w:rsidR="009248AA" w:rsidRDefault="009248AA"/>
        </w:tc>
        <w:tc>
          <w:tcPr>
            <w:tcW w:w="320" w:type="dxa"/>
            <w:shd w:val="clear" w:color="auto" w:fill="4A86E8"/>
          </w:tcPr>
          <w:p w:rsidR="009248AA" w:rsidRDefault="009248AA"/>
        </w:tc>
        <w:tc>
          <w:tcPr>
            <w:tcW w:w="365" w:type="dxa"/>
            <w:shd w:val="clear" w:color="auto" w:fill="4A86E8"/>
          </w:tcPr>
          <w:p w:rsidR="009248AA" w:rsidRDefault="009248AA"/>
        </w:tc>
        <w:tc>
          <w:tcPr>
            <w:tcW w:w="361" w:type="dxa"/>
            <w:shd w:val="clear" w:color="auto" w:fill="4A86E8"/>
          </w:tcPr>
          <w:p w:rsidR="009248AA" w:rsidRDefault="009248AA"/>
        </w:tc>
        <w:tc>
          <w:tcPr>
            <w:tcW w:w="355" w:type="dxa"/>
            <w:tcBorders>
              <w:top w:val="single" w:sz="12" w:space="0" w:color="000000"/>
            </w:tcBorders>
            <w:shd w:val="clear" w:color="auto" w:fill="4A86E8"/>
          </w:tcPr>
          <w:p w:rsidR="009248AA" w:rsidRDefault="009248AA"/>
        </w:tc>
        <w:tc>
          <w:tcPr>
            <w:tcW w:w="405" w:type="dxa"/>
            <w:shd w:val="clear" w:color="auto" w:fill="548DD4"/>
          </w:tcPr>
          <w:p w:rsidR="009248AA" w:rsidRDefault="009248AA"/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shd w:val="clear" w:color="auto" w:fill="548DD4"/>
          </w:tcPr>
          <w:p w:rsidR="009248AA" w:rsidRDefault="009248AA">
            <w:pPr>
              <w:jc w:val="both"/>
            </w:pPr>
          </w:p>
        </w:tc>
      </w:tr>
      <w:tr w:rsidR="00E51294" w:rsidTr="00E512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5.1</w:t>
            </w:r>
          </w:p>
        </w:tc>
        <w:tc>
          <w:tcPr>
            <w:tcW w:w="8784" w:type="dxa"/>
          </w:tcPr>
          <w:p w:rsidR="009248AA" w:rsidRDefault="00005DEF">
            <w:r>
              <w:t>Evaluación de soluciones educativas integrales (Software y Hardware)</w:t>
            </w: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shd w:val="clear" w:color="auto" w:fill="EFEFEF"/>
          </w:tcPr>
          <w:p w:rsidR="009248AA" w:rsidRDefault="009248AA">
            <w:pPr>
              <w:jc w:val="both"/>
            </w:pPr>
          </w:p>
        </w:tc>
      </w:tr>
      <w:tr w:rsidR="00E51294" w:rsidTr="00E5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5.2</w:t>
            </w:r>
          </w:p>
        </w:tc>
        <w:tc>
          <w:tcPr>
            <w:tcW w:w="8784" w:type="dxa"/>
          </w:tcPr>
          <w:p w:rsidR="009248AA" w:rsidRDefault="00005DEF">
            <w:r>
              <w:t>Selección y evaluación de contenidos a integrar con la solución educativa digital</w:t>
            </w:r>
          </w:p>
        </w:tc>
        <w:tc>
          <w:tcPr>
            <w:tcW w:w="35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</w:tr>
      <w:tr w:rsidR="00E51294" w:rsidTr="00E512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5.3</w:t>
            </w:r>
          </w:p>
        </w:tc>
        <w:tc>
          <w:tcPr>
            <w:tcW w:w="8784" w:type="dxa"/>
          </w:tcPr>
          <w:p w:rsidR="009248AA" w:rsidRDefault="00005DEF">
            <w:r>
              <w:t>Licitación de adquisición de solución integral de educación digital</w:t>
            </w: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</w:tr>
      <w:tr w:rsidR="00E51294" w:rsidTr="00E5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5.4</w:t>
            </w:r>
          </w:p>
        </w:tc>
        <w:tc>
          <w:tcPr>
            <w:tcW w:w="8784" w:type="dxa"/>
          </w:tcPr>
          <w:p w:rsidR="009248AA" w:rsidRDefault="00005DEF">
            <w:r>
              <w:t>Logística para instalación y configuración de solución integral</w:t>
            </w: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F3F3F3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F3F3F3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F3F3F3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</w:tr>
      <w:tr w:rsidR="00E51294" w:rsidTr="00E512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5.5</w:t>
            </w:r>
          </w:p>
        </w:tc>
        <w:tc>
          <w:tcPr>
            <w:tcW w:w="8784" w:type="dxa"/>
          </w:tcPr>
          <w:p w:rsidR="009248AA" w:rsidRDefault="00005DEF">
            <w:r>
              <w:t>Publicación del estudio de factibilidad y diagnóstico general</w:t>
            </w: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548DD4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shd w:val="clear" w:color="auto" w:fill="548DD4"/>
          </w:tcPr>
          <w:p w:rsidR="009248AA" w:rsidRDefault="009248AA">
            <w:pPr>
              <w:jc w:val="both"/>
            </w:pPr>
          </w:p>
        </w:tc>
      </w:tr>
      <w:tr w:rsidR="00E51294" w:rsidTr="00E5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626" w:type="dxa"/>
            <w:vMerge/>
          </w:tcPr>
          <w:p w:rsidR="009248AA" w:rsidRDefault="009248AA">
            <w:pPr>
              <w:jc w:val="both"/>
            </w:pPr>
          </w:p>
        </w:tc>
        <w:tc>
          <w:tcPr>
            <w:tcW w:w="604" w:type="dxa"/>
          </w:tcPr>
          <w:p w:rsidR="009248AA" w:rsidRDefault="00005DEF">
            <w:pPr>
              <w:jc w:val="both"/>
            </w:pPr>
            <w:r>
              <w:t>5.6</w:t>
            </w:r>
          </w:p>
        </w:tc>
        <w:tc>
          <w:tcPr>
            <w:tcW w:w="8784" w:type="dxa"/>
          </w:tcPr>
          <w:p w:rsidR="009248AA" w:rsidRDefault="009248AA"/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6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5" w:type="dxa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</w:tcPr>
          <w:p w:rsidR="009248AA" w:rsidRDefault="009248AA">
            <w:pPr>
              <w:jc w:val="both"/>
            </w:pPr>
          </w:p>
        </w:tc>
        <w:tc>
          <w:tcPr>
            <w:tcW w:w="320" w:type="dxa"/>
          </w:tcPr>
          <w:p w:rsidR="009248AA" w:rsidRDefault="009248AA">
            <w:pPr>
              <w:jc w:val="both"/>
            </w:pPr>
          </w:p>
        </w:tc>
        <w:tc>
          <w:tcPr>
            <w:tcW w:w="365" w:type="dxa"/>
          </w:tcPr>
          <w:p w:rsidR="009248AA" w:rsidRDefault="009248AA">
            <w:pPr>
              <w:jc w:val="both"/>
            </w:pPr>
          </w:p>
        </w:tc>
        <w:tc>
          <w:tcPr>
            <w:tcW w:w="361" w:type="dxa"/>
          </w:tcPr>
          <w:p w:rsidR="009248AA" w:rsidRDefault="009248AA">
            <w:pPr>
              <w:jc w:val="both"/>
            </w:pPr>
          </w:p>
        </w:tc>
        <w:tc>
          <w:tcPr>
            <w:tcW w:w="355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24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17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350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409" w:type="dxa"/>
            <w:shd w:val="clear" w:color="auto" w:fill="EFEFEF"/>
          </w:tcPr>
          <w:p w:rsidR="009248AA" w:rsidRDefault="009248AA">
            <w:pPr>
              <w:jc w:val="both"/>
            </w:pPr>
          </w:p>
        </w:tc>
        <w:tc>
          <w:tcPr>
            <w:tcW w:w="289" w:type="dxa"/>
            <w:shd w:val="clear" w:color="auto" w:fill="548DD4"/>
          </w:tcPr>
          <w:p w:rsidR="009248AA" w:rsidRDefault="009248AA">
            <w:pPr>
              <w:jc w:val="both"/>
            </w:pPr>
          </w:p>
        </w:tc>
      </w:tr>
    </w:tbl>
    <w:p w:rsidR="009248AA" w:rsidRDefault="009248AA">
      <w:pPr>
        <w:spacing w:after="0"/>
        <w:jc w:val="both"/>
      </w:pPr>
      <w:bookmarkStart w:id="1" w:name="_GoBack"/>
      <w:bookmarkEnd w:id="1"/>
    </w:p>
    <w:sectPr w:rsidR="009248AA">
      <w:headerReference w:type="default" r:id="rId7"/>
      <w:footerReference w:type="default" r:id="rId8"/>
      <w:pgSz w:w="20160" w:h="12240"/>
      <w:pgMar w:top="709" w:right="1417" w:bottom="993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CD" w:rsidRDefault="001F13CD">
      <w:pPr>
        <w:spacing w:after="0" w:line="240" w:lineRule="auto"/>
      </w:pPr>
      <w:r>
        <w:separator/>
      </w:r>
    </w:p>
  </w:endnote>
  <w:endnote w:type="continuationSeparator" w:id="0">
    <w:p w:rsidR="001F13CD" w:rsidRDefault="001F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780713"/>
      <w:docPartObj>
        <w:docPartGallery w:val="Page Numbers (Bottom of Page)"/>
        <w:docPartUnique/>
      </w:docPartObj>
    </w:sdtPr>
    <w:sdtContent>
      <w:p w:rsidR="00E51294" w:rsidRDefault="00E5129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1294">
          <w:rPr>
            <w:noProof/>
            <w:lang w:val="es-ES"/>
          </w:rPr>
          <w:t>2</w:t>
        </w:r>
        <w:r>
          <w:fldChar w:fldCharType="end"/>
        </w:r>
      </w:p>
    </w:sdtContent>
  </w:sdt>
  <w:p w:rsidR="00E51294" w:rsidRDefault="00E512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CD" w:rsidRDefault="001F13CD">
      <w:pPr>
        <w:spacing w:after="0" w:line="240" w:lineRule="auto"/>
      </w:pPr>
      <w:r>
        <w:separator/>
      </w:r>
    </w:p>
  </w:footnote>
  <w:footnote w:type="continuationSeparator" w:id="0">
    <w:p w:rsidR="001F13CD" w:rsidRDefault="001F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AA" w:rsidRDefault="00005DEF">
    <w:pPr>
      <w:tabs>
        <w:tab w:val="center" w:pos="4419"/>
        <w:tab w:val="right" w:pos="8838"/>
      </w:tabs>
      <w:spacing w:before="720" w:after="0" w:line="240" w:lineRule="aut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1FC8A6" wp14:editId="72614AD7">
          <wp:simplePos x="0" y="0"/>
          <wp:positionH relativeFrom="column">
            <wp:posOffset>5050155</wp:posOffset>
          </wp:positionH>
          <wp:positionV relativeFrom="paragraph">
            <wp:posOffset>-75565</wp:posOffset>
          </wp:positionV>
          <wp:extent cx="895985" cy="908685"/>
          <wp:effectExtent l="0" t="0" r="0" b="5715"/>
          <wp:wrapTight wrapText="bothSides">
            <wp:wrapPolygon edited="0">
              <wp:start x="0" y="0"/>
              <wp:lineTo x="0" y="21283"/>
              <wp:lineTo x="21125" y="21283"/>
              <wp:lineTo x="21125" y="0"/>
              <wp:lineTo x="0" y="0"/>
            </wp:wrapPolygon>
          </wp:wrapTight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985" cy="908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48AA"/>
    <w:rsid w:val="00005DEF"/>
    <w:rsid w:val="001F13CD"/>
    <w:rsid w:val="003C1A26"/>
    <w:rsid w:val="0082728B"/>
    <w:rsid w:val="008F3954"/>
    <w:rsid w:val="009248AA"/>
    <w:rsid w:val="00BF4041"/>
    <w:rsid w:val="00E5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C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A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512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294"/>
  </w:style>
  <w:style w:type="paragraph" w:styleId="Piedepgina">
    <w:name w:val="footer"/>
    <w:basedOn w:val="Normal"/>
    <w:link w:val="PiedepginaCar"/>
    <w:uiPriority w:val="99"/>
    <w:unhideWhenUsed/>
    <w:rsid w:val="00E512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C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A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512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294"/>
  </w:style>
  <w:style w:type="paragraph" w:styleId="Piedepgina">
    <w:name w:val="footer"/>
    <w:basedOn w:val="Normal"/>
    <w:link w:val="PiedepginaCar"/>
    <w:uiPriority w:val="99"/>
    <w:unhideWhenUsed/>
    <w:rsid w:val="00E512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2</cp:revision>
  <dcterms:created xsi:type="dcterms:W3CDTF">2017-06-10T12:47:00Z</dcterms:created>
  <dcterms:modified xsi:type="dcterms:W3CDTF">2017-06-10T12:47:00Z</dcterms:modified>
</cp:coreProperties>
</file>